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EA83" w14:textId="40578A82" w:rsidR="40578A82" w:rsidRDefault="40578A82" w:rsidP="40578A82">
      <w:bookmarkStart w:id="0" w:name="_GoBack"/>
      <w:bookmarkEnd w:id="0"/>
      <w:r w:rsidRPr="40578A82">
        <w:rPr>
          <w:rFonts w:eastAsiaTheme="minorEastAsia"/>
          <w:b/>
          <w:bCs/>
        </w:rPr>
        <w:t xml:space="preserve">Success Equation 2015 Policy Agenda </w:t>
      </w:r>
    </w:p>
    <w:p w14:paraId="7B5585D9" w14:textId="00E158E5" w:rsidR="40578A82" w:rsidRDefault="40578A82">
      <w:r w:rsidRPr="40578A82">
        <w:rPr>
          <w:rFonts w:eastAsiaTheme="minorEastAsia"/>
          <w:i/>
          <w:iCs/>
        </w:rPr>
        <w:t>Our mission is to inspire and sustain a local movement to reduce the incidence of poverty and its impact on children in Buncombe County through education, collaboration, and public policy. Our vision is a community where all children can thrive.</w:t>
      </w:r>
      <w:r w:rsidRPr="40578A82">
        <w:rPr>
          <w:rFonts w:eastAsiaTheme="minorEastAsia"/>
        </w:rPr>
        <w:t xml:space="preserve"> </w:t>
      </w:r>
    </w:p>
    <w:tbl>
      <w:tblPr>
        <w:tblStyle w:val="GridTable1Light-Accent11"/>
        <w:tblW w:w="0" w:type="auto"/>
        <w:tblLook w:val="04A0" w:firstRow="1" w:lastRow="0" w:firstColumn="1" w:lastColumn="0" w:noHBand="0" w:noVBand="1"/>
      </w:tblPr>
      <w:tblGrid>
        <w:gridCol w:w="1155"/>
        <w:gridCol w:w="3880"/>
        <w:gridCol w:w="5040"/>
        <w:gridCol w:w="3960"/>
      </w:tblGrid>
      <w:tr w:rsidR="40578A82" w14:paraId="0D27EB86" w14:textId="77777777" w:rsidTr="47F48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1C9D2262" w14:textId="0BF5A9A0" w:rsidR="40578A82" w:rsidRDefault="40578A82" w:rsidP="40578A82"/>
        </w:tc>
        <w:tc>
          <w:tcPr>
            <w:tcW w:w="3880" w:type="dxa"/>
          </w:tcPr>
          <w:p w14:paraId="0E41FE2E" w14:textId="6204648B" w:rsidR="40578A82" w:rsidRDefault="40578A82" w:rsidP="40578A82">
            <w:pPr>
              <w:cnfStyle w:val="100000000000" w:firstRow="1" w:lastRow="0" w:firstColumn="0" w:lastColumn="0" w:oddVBand="0" w:evenVBand="0" w:oddHBand="0" w:evenHBand="0" w:firstRowFirstColumn="0" w:firstRowLastColumn="0" w:lastRowFirstColumn="0" w:lastRowLastColumn="0"/>
            </w:pPr>
            <w:r w:rsidRPr="40578A82">
              <w:rPr>
                <w:rFonts w:eastAsiaTheme="minorEastAsia"/>
              </w:rPr>
              <w:t>Local</w:t>
            </w:r>
          </w:p>
        </w:tc>
        <w:tc>
          <w:tcPr>
            <w:tcW w:w="5040" w:type="dxa"/>
          </w:tcPr>
          <w:p w14:paraId="27087108" w14:textId="61394CBC" w:rsidR="40578A82" w:rsidRDefault="40578A82" w:rsidP="40578A82">
            <w:pPr>
              <w:cnfStyle w:val="100000000000" w:firstRow="1" w:lastRow="0" w:firstColumn="0" w:lastColumn="0" w:oddVBand="0" w:evenVBand="0" w:oddHBand="0" w:evenHBand="0" w:firstRowFirstColumn="0" w:firstRowLastColumn="0" w:lastRowFirstColumn="0" w:lastRowLastColumn="0"/>
            </w:pPr>
            <w:r w:rsidRPr="40578A82">
              <w:rPr>
                <w:rFonts w:eastAsiaTheme="minorEastAsia"/>
              </w:rPr>
              <w:t>State</w:t>
            </w:r>
          </w:p>
        </w:tc>
        <w:tc>
          <w:tcPr>
            <w:tcW w:w="3960" w:type="dxa"/>
          </w:tcPr>
          <w:p w14:paraId="76A41AB7" w14:textId="6B99D70D" w:rsidR="40578A82" w:rsidRDefault="40578A82" w:rsidP="40578A82">
            <w:pPr>
              <w:cnfStyle w:val="100000000000" w:firstRow="1" w:lastRow="0" w:firstColumn="0" w:lastColumn="0" w:oddVBand="0" w:evenVBand="0" w:oddHBand="0" w:evenHBand="0" w:firstRowFirstColumn="0" w:firstRowLastColumn="0" w:lastRowFirstColumn="0" w:lastRowLastColumn="0"/>
            </w:pPr>
            <w:r w:rsidRPr="40578A82">
              <w:rPr>
                <w:rFonts w:eastAsiaTheme="minorEastAsia"/>
              </w:rPr>
              <w:t>Federal</w:t>
            </w:r>
          </w:p>
        </w:tc>
      </w:tr>
      <w:tr w:rsidR="40578A82" w14:paraId="7A073D0A" w14:textId="77777777" w:rsidTr="47F484AD">
        <w:tc>
          <w:tcPr>
            <w:cnfStyle w:val="001000000000" w:firstRow="0" w:lastRow="0" w:firstColumn="1" w:lastColumn="0" w:oddVBand="0" w:evenVBand="0" w:oddHBand="0" w:evenHBand="0" w:firstRowFirstColumn="0" w:firstRowLastColumn="0" w:lastRowFirstColumn="0" w:lastRowLastColumn="0"/>
            <w:tcW w:w="1155" w:type="dxa"/>
          </w:tcPr>
          <w:p w14:paraId="16F8050B" w14:textId="28E785DC" w:rsidR="40578A82" w:rsidRDefault="40578A82" w:rsidP="40578A82">
            <w:r w:rsidRPr="40578A82">
              <w:rPr>
                <w:rFonts w:eastAsiaTheme="minorEastAsia"/>
              </w:rPr>
              <w:t>Early Childhood</w:t>
            </w:r>
          </w:p>
        </w:tc>
        <w:tc>
          <w:tcPr>
            <w:tcW w:w="3880" w:type="dxa"/>
          </w:tcPr>
          <w:p w14:paraId="5800A9AC" w14:textId="47F484AD" w:rsidR="40578A82" w:rsidRDefault="47F484AD" w:rsidP="40578A82">
            <w:pPr>
              <w:cnfStyle w:val="000000000000" w:firstRow="0" w:lastRow="0" w:firstColumn="0" w:lastColumn="0" w:oddVBand="0" w:evenVBand="0" w:oddHBand="0" w:evenHBand="0" w:firstRowFirstColumn="0" w:firstRowLastColumn="0" w:lastRowFirstColumn="0" w:lastRowLastColumn="0"/>
            </w:pPr>
            <w:r>
              <w:t xml:space="preserve">Support County funding to continue implementation of the Triple P program components and outreach to parents and trainers. </w:t>
            </w:r>
            <w:r w:rsidRPr="47F484AD">
              <w:rPr>
                <w:highlight w:val="yellow"/>
              </w:rPr>
              <w:t>(Lead)</w:t>
            </w:r>
          </w:p>
          <w:p w14:paraId="18432A6A" w14:textId="41DF28B1" w:rsidR="40578A82" w:rsidRDefault="40578A82" w:rsidP="40578A82">
            <w:pPr>
              <w:cnfStyle w:val="000000000000" w:firstRow="0" w:lastRow="0" w:firstColumn="0" w:lastColumn="0" w:oddVBand="0" w:evenVBand="0" w:oddHBand="0" w:evenHBand="0" w:firstRowFirstColumn="0" w:firstRowLastColumn="0" w:lastRowFirstColumn="0" w:lastRowLastColumn="0"/>
            </w:pPr>
          </w:p>
        </w:tc>
        <w:tc>
          <w:tcPr>
            <w:tcW w:w="5040" w:type="dxa"/>
          </w:tcPr>
          <w:p w14:paraId="6C21EC22" w14:textId="59C4AE51"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Promote changes to the child care subsidy market rate and allocations formulas that make them more transparent and fair and reflect the cost of providing quality care. </w:t>
            </w:r>
            <w:r w:rsidRPr="47F484AD">
              <w:rPr>
                <w:rFonts w:asciiTheme="minorEastAsia" w:eastAsiaTheme="minorEastAsia" w:hAnsiTheme="minorEastAsia" w:cstheme="minorEastAsia"/>
                <w:highlight w:val="yellow"/>
              </w:rPr>
              <w:t>(Co-leading via our WNCECC partnership)</w:t>
            </w:r>
          </w:p>
          <w:p w14:paraId="72CA0713" w14:textId="5DC48BBE"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627C1EE4" w14:textId="2F01429A"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Increase state funding for NC Pre-K, child care subsidy, and Smart Start to serve more children in these programs. </w:t>
            </w:r>
            <w:r w:rsidRPr="47F484AD">
              <w:rPr>
                <w:rFonts w:asciiTheme="minorEastAsia" w:eastAsiaTheme="minorEastAsia" w:hAnsiTheme="minorEastAsia" w:cstheme="minorEastAsia"/>
                <w:highlight w:val="green"/>
              </w:rPr>
              <w:t>(Sign-on with plethora of state/local orgs like NCPC, NCCC, Smart Start)</w:t>
            </w:r>
          </w:p>
          <w:p w14:paraId="6805258E" w14:textId="153191E0"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5172F213" w14:textId="38D924A6"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Restore the ability for partial parent co-pays for part time care in the child care subsidy program. </w:t>
            </w:r>
            <w:r w:rsidRPr="47F484AD">
              <w:rPr>
                <w:rFonts w:asciiTheme="minorEastAsia" w:eastAsiaTheme="minorEastAsia" w:hAnsiTheme="minorEastAsia" w:cstheme="minorEastAsia"/>
                <w:highlight w:val="green"/>
              </w:rPr>
              <w:t>(Partnering via WNECC)</w:t>
            </w:r>
          </w:p>
          <w:p w14:paraId="55E5561F" w14:textId="630CE0EF" w:rsidR="40578A82" w:rsidRDefault="40578A82" w:rsidP="40578A82">
            <w:pPr>
              <w:cnfStyle w:val="000000000000" w:firstRow="0" w:lastRow="0" w:firstColumn="0" w:lastColumn="0" w:oddVBand="0" w:evenVBand="0" w:oddHBand="0" w:evenHBand="0" w:firstRowFirstColumn="0" w:firstRowLastColumn="0" w:lastRowFirstColumn="0" w:lastRowLastColumn="0"/>
            </w:pPr>
          </w:p>
        </w:tc>
        <w:tc>
          <w:tcPr>
            <w:tcW w:w="3960" w:type="dxa"/>
          </w:tcPr>
          <w:p w14:paraId="577FE9E0" w14:textId="4C8B1218" w:rsidR="40578A82" w:rsidRDefault="47F484AD" w:rsidP="40578A82">
            <w:pPr>
              <w:cnfStyle w:val="000000000000" w:firstRow="0" w:lastRow="0" w:firstColumn="0" w:lastColumn="0" w:oddVBand="0" w:evenVBand="0" w:oddHBand="0" w:evenHBand="0" w:firstRowFirstColumn="0" w:firstRowLastColumn="0" w:lastRowFirstColumn="0" w:lastRowLastColumn="0"/>
            </w:pPr>
            <w:r>
              <w:t xml:space="preserve">Support strong appropriation for the recently reauthorized and improved Child Care and Development Block Grant (CCDBG). </w:t>
            </w:r>
            <w:r w:rsidRPr="47F484AD">
              <w:rPr>
                <w:highlight w:val="cyan"/>
              </w:rPr>
              <w:t>(sign-on)</w:t>
            </w:r>
          </w:p>
        </w:tc>
      </w:tr>
      <w:tr w:rsidR="40578A82" w14:paraId="4592E6F3" w14:textId="77777777" w:rsidTr="47F484AD">
        <w:tc>
          <w:tcPr>
            <w:cnfStyle w:val="001000000000" w:firstRow="0" w:lastRow="0" w:firstColumn="1" w:lastColumn="0" w:oddVBand="0" w:evenVBand="0" w:oddHBand="0" w:evenHBand="0" w:firstRowFirstColumn="0" w:firstRowLastColumn="0" w:lastRowFirstColumn="0" w:lastRowLastColumn="0"/>
            <w:tcW w:w="1155" w:type="dxa"/>
          </w:tcPr>
          <w:p w14:paraId="42C0D55A" w14:textId="5BEF4A44" w:rsidR="40578A82" w:rsidRDefault="40578A82" w:rsidP="40578A82">
            <w:r w:rsidRPr="40578A82">
              <w:rPr>
                <w:rFonts w:eastAsiaTheme="minorEastAsia"/>
              </w:rPr>
              <w:t>Family Supports</w:t>
            </w:r>
          </w:p>
        </w:tc>
        <w:tc>
          <w:tcPr>
            <w:tcW w:w="3880" w:type="dxa"/>
          </w:tcPr>
          <w:p w14:paraId="029E2525" w14:textId="53B7874E"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Support the People's Agenda for Transportation Equality to make improvements in ART, including Sunday service, expanded hours, and route improvements. </w:t>
            </w:r>
            <w:r w:rsidRPr="47F484AD">
              <w:rPr>
                <w:rFonts w:asciiTheme="minorEastAsia" w:eastAsiaTheme="minorEastAsia" w:hAnsiTheme="minorEastAsia" w:cstheme="minorEastAsia"/>
                <w:highlight w:val="green"/>
              </w:rPr>
              <w:t>(Partner)</w:t>
            </w:r>
          </w:p>
          <w:p w14:paraId="7CF43938" w14:textId="01AB351C"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1F5A5AFC" w14:textId="52569F10"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Support continuation of the Super Summer Meals program. </w:t>
            </w:r>
            <w:r w:rsidRPr="47F484AD">
              <w:rPr>
                <w:rFonts w:asciiTheme="minorEastAsia" w:eastAsiaTheme="minorEastAsia" w:hAnsiTheme="minorEastAsia" w:cstheme="minorEastAsia"/>
                <w:highlight w:val="yellow"/>
              </w:rPr>
              <w:t>(Lead)</w:t>
            </w:r>
          </w:p>
          <w:p w14:paraId="2CA68C17" w14:textId="00610631"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3BB5874A" w14:textId="3186127B"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Work with local DHHS to advocate for transparent and fair implementation of the new drug testing requirements and monitor the impact of the new policy. </w:t>
            </w:r>
            <w:r w:rsidRPr="47F484AD">
              <w:rPr>
                <w:rFonts w:asciiTheme="minorEastAsia" w:eastAsiaTheme="minorEastAsia" w:hAnsiTheme="minorEastAsia" w:cstheme="minorEastAsia"/>
                <w:highlight w:val="yellow"/>
              </w:rPr>
              <w:t>(Lead)</w:t>
            </w:r>
          </w:p>
          <w:p w14:paraId="70FC15F6" w14:textId="417FC826" w:rsidR="40578A82" w:rsidRDefault="40578A82" w:rsidP="40578A82">
            <w:pPr>
              <w:cnfStyle w:val="000000000000" w:firstRow="0" w:lastRow="0" w:firstColumn="0" w:lastColumn="0" w:oddVBand="0" w:evenVBand="0" w:oddHBand="0" w:evenHBand="0" w:firstRowFirstColumn="0" w:firstRowLastColumn="0" w:lastRowFirstColumn="0" w:lastRowLastColumn="0"/>
            </w:pPr>
          </w:p>
        </w:tc>
        <w:tc>
          <w:tcPr>
            <w:tcW w:w="5040" w:type="dxa"/>
          </w:tcPr>
          <w:p w14:paraId="5865B353" w14:textId="2F7F60D8"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Expand affordable health insurance via the federal Medicaid Funding available through the Affordable Care Act. </w:t>
            </w:r>
            <w:r w:rsidRPr="47F484AD">
              <w:rPr>
                <w:rFonts w:asciiTheme="minorEastAsia" w:eastAsiaTheme="minorEastAsia" w:hAnsiTheme="minorEastAsia" w:cstheme="minorEastAsia"/>
                <w:highlight w:val="green"/>
              </w:rPr>
              <w:t>(Partnering via WNC Expand Medicaid Coalition)</w:t>
            </w:r>
          </w:p>
          <w:p w14:paraId="1414D7AD" w14:textId="7388F42B"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1E68D99D" w14:textId="17A19914"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Expand child care subsidy eligibility to 200% of poverty for school-age children through age 12. </w:t>
            </w:r>
            <w:r w:rsidRPr="47F484AD">
              <w:rPr>
                <w:rFonts w:asciiTheme="minorEastAsia" w:eastAsiaTheme="minorEastAsia" w:hAnsiTheme="minorEastAsia" w:cstheme="minorEastAsia"/>
                <w:highlight w:val="green"/>
              </w:rPr>
              <w:t>(Partnering via WNECC)</w:t>
            </w:r>
          </w:p>
          <w:p w14:paraId="59B1BE52" w14:textId="233B82F1"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2293DA28" w14:textId="0680ABDE" w:rsidR="40578A82" w:rsidRDefault="000A600C" w:rsidP="000A600C">
            <w:pPr>
              <w:cnfStyle w:val="000000000000" w:firstRow="0" w:lastRow="0" w:firstColumn="0" w:lastColumn="0" w:oddVBand="0" w:evenVBand="0" w:oddHBand="0" w:evenHBand="0" w:firstRowFirstColumn="0" w:firstRowLastColumn="0" w:lastRowFirstColumn="0" w:lastRowLastColumn="0"/>
            </w:pPr>
            <w:r>
              <w:t>Make sure N</w:t>
            </w:r>
            <w:r w:rsidRPr="000A600C">
              <w:t xml:space="preserve">orth Carolina’s tax system </w:t>
            </w:r>
            <w:r>
              <w:t xml:space="preserve">is adequate to fund important services for children and families and is </w:t>
            </w:r>
            <w:r w:rsidRPr="000A600C">
              <w:t xml:space="preserve">more equitable </w:t>
            </w:r>
            <w:r>
              <w:t xml:space="preserve">for lower-income families </w:t>
            </w:r>
            <w:r w:rsidRPr="000A600C">
              <w:t>by reinstating the state Earned Income Tax Credit</w:t>
            </w:r>
            <w:r>
              <w:t xml:space="preserve">. </w:t>
            </w:r>
            <w:r w:rsidRPr="000A600C">
              <w:rPr>
                <w:highlight w:val="cyan"/>
              </w:rPr>
              <w:t>(sign-on)</w:t>
            </w:r>
          </w:p>
        </w:tc>
        <w:tc>
          <w:tcPr>
            <w:tcW w:w="3960" w:type="dxa"/>
          </w:tcPr>
          <w:p w14:paraId="00A4CB43" w14:textId="290EDE12"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Protect funding and eligibility for Supplemental Nutrition Assistance Program (SNAP), School Lunch Program, and Temporary Assistance for Needy Families (TANF). </w:t>
            </w:r>
            <w:r w:rsidRPr="47F484AD">
              <w:rPr>
                <w:rFonts w:asciiTheme="minorEastAsia" w:eastAsiaTheme="minorEastAsia" w:hAnsiTheme="minorEastAsia" w:cstheme="minorEastAsia"/>
                <w:highlight w:val="cyan"/>
              </w:rPr>
              <w:t>(sign-on)</w:t>
            </w:r>
          </w:p>
          <w:p w14:paraId="51575274" w14:textId="5968E109"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0958E5E7" w14:textId="41D5060D" w:rsidR="40578A82" w:rsidRDefault="40578A82" w:rsidP="40578A82">
            <w:pPr>
              <w:cnfStyle w:val="000000000000" w:firstRow="0" w:lastRow="0" w:firstColumn="0" w:lastColumn="0" w:oddVBand="0" w:evenVBand="0" w:oddHBand="0" w:evenHBand="0" w:firstRowFirstColumn="0" w:firstRowLastColumn="0" w:lastRowFirstColumn="0" w:lastRowLastColumn="0"/>
            </w:pPr>
          </w:p>
        </w:tc>
      </w:tr>
      <w:tr w:rsidR="40578A82" w14:paraId="350F1973" w14:textId="77777777" w:rsidTr="47F484AD">
        <w:tc>
          <w:tcPr>
            <w:cnfStyle w:val="001000000000" w:firstRow="0" w:lastRow="0" w:firstColumn="1" w:lastColumn="0" w:oddVBand="0" w:evenVBand="0" w:oddHBand="0" w:evenHBand="0" w:firstRowFirstColumn="0" w:firstRowLastColumn="0" w:lastRowFirstColumn="0" w:lastRowLastColumn="0"/>
            <w:tcW w:w="1155" w:type="dxa"/>
          </w:tcPr>
          <w:p w14:paraId="1E70B292" w14:textId="0E3F92C5" w:rsidR="40578A82" w:rsidRDefault="40578A82" w:rsidP="40578A82">
            <w:r w:rsidRPr="40578A82">
              <w:rPr>
                <w:rFonts w:eastAsiaTheme="minorEastAsia"/>
              </w:rPr>
              <w:lastRenderedPageBreak/>
              <w:t>Economic Stability</w:t>
            </w:r>
          </w:p>
        </w:tc>
        <w:tc>
          <w:tcPr>
            <w:tcW w:w="3880" w:type="dxa"/>
          </w:tcPr>
          <w:p w14:paraId="409FA95E" w14:textId="170AE98D"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Support additional city and county general funds for their affordable housing trust fund with a goal of a combined $2M. </w:t>
            </w:r>
            <w:r w:rsidR="007C3721" w:rsidRPr="007C3721">
              <w:rPr>
                <w:rFonts w:asciiTheme="minorEastAsia" w:eastAsiaTheme="minorEastAsia" w:hAnsiTheme="minorEastAsia" w:cstheme="minorEastAsia"/>
                <w:highlight w:val="green"/>
              </w:rPr>
              <w:t>(Partner)</w:t>
            </w:r>
          </w:p>
          <w:p w14:paraId="1D49EFA3" w14:textId="65F43FFD"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5056E2EA" w14:textId="037524CD"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Support affordable housing recommendations from the City's Affordable Housing Advisory Committee relating to density, zoning, and incentives. </w:t>
            </w:r>
            <w:r w:rsidRPr="47F484AD">
              <w:rPr>
                <w:rFonts w:asciiTheme="minorEastAsia" w:eastAsiaTheme="minorEastAsia" w:hAnsiTheme="minorEastAsia" w:cstheme="minorEastAsia"/>
                <w:highlight w:val="green"/>
              </w:rPr>
              <w:t>(Partner)</w:t>
            </w:r>
          </w:p>
          <w:p w14:paraId="23EE1B4C" w14:textId="742F1DA8"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0EEB94CE" w14:textId="0C8363FD"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Redefine guidelines for city/county affordable housing programs to make sure they are providing opportunities for a wide range of incomes below 80 AMI - especially for typical wages in service/retail sectors. </w:t>
            </w:r>
            <w:r w:rsidRPr="47F484AD">
              <w:rPr>
                <w:rFonts w:asciiTheme="minorEastAsia" w:eastAsiaTheme="minorEastAsia" w:hAnsiTheme="minorEastAsia" w:cstheme="minorEastAsia"/>
                <w:highlight w:val="yellow"/>
              </w:rPr>
              <w:t>(Lead)</w:t>
            </w:r>
          </w:p>
          <w:p w14:paraId="73E2D83D" w14:textId="3F9FCFF8"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56C1688D" w14:textId="330DE9C9"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Monitor the Housing Authority of the City of Asheville's (HACA) implementation of Rental Assistance Demonstration (RAD) and advocate for tenant empowerment, collaborative and realistic Family Support Service (FSS) options, and preservation of units and communities. (</w:t>
            </w:r>
            <w:r w:rsidRPr="47F484AD">
              <w:rPr>
                <w:rFonts w:asciiTheme="minorEastAsia" w:eastAsiaTheme="minorEastAsia" w:hAnsiTheme="minorEastAsia" w:cstheme="minorEastAsia"/>
                <w:highlight w:val="cyan"/>
              </w:rPr>
              <w:t>sign-on with Public Housing Advocacy Coalition)</w:t>
            </w:r>
          </w:p>
          <w:p w14:paraId="1CA81BB4" w14:textId="037F1686"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098CFA3C" w14:textId="4FDA8817"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Support Just Economics promotion of community benefit agreements with the City and County for economic development incentives to businesses. </w:t>
            </w:r>
            <w:r w:rsidRPr="47F484AD">
              <w:rPr>
                <w:rFonts w:asciiTheme="minorEastAsia" w:eastAsiaTheme="minorEastAsia" w:hAnsiTheme="minorEastAsia" w:cstheme="minorEastAsia"/>
                <w:highlight w:val="green"/>
              </w:rPr>
              <w:t>(partner)</w:t>
            </w:r>
          </w:p>
        </w:tc>
        <w:tc>
          <w:tcPr>
            <w:tcW w:w="5040" w:type="dxa"/>
          </w:tcPr>
          <w:p w14:paraId="7C1F0724" w14:textId="75B2C983"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Support the NC Housing Coalition's agenda to protect/increase the state Housing Trust Fund. </w:t>
            </w:r>
            <w:r w:rsidRPr="47F484AD">
              <w:rPr>
                <w:rFonts w:asciiTheme="minorEastAsia" w:eastAsiaTheme="minorEastAsia" w:hAnsiTheme="minorEastAsia" w:cstheme="minorEastAsia"/>
                <w:highlight w:val="cyan"/>
              </w:rPr>
              <w:t>(sign-on)</w:t>
            </w:r>
          </w:p>
          <w:p w14:paraId="73458A58" w14:textId="36537327"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68E3AD46" w14:textId="430DC388"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Support the Raise the Age campaign to raise the age of adult sentencing to 18 for non-violent crimes. </w:t>
            </w:r>
            <w:r w:rsidRPr="47F484AD">
              <w:rPr>
                <w:rFonts w:asciiTheme="minorEastAsia" w:eastAsiaTheme="minorEastAsia" w:hAnsiTheme="minorEastAsia" w:cstheme="minorEastAsia"/>
                <w:highlight w:val="green"/>
              </w:rPr>
              <w:t>(Partner)</w:t>
            </w:r>
          </w:p>
          <w:p w14:paraId="10B25544" w14:textId="1FF08F38"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5AC3DF94" w14:textId="103BB041"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Support in-state tuition for "non-resident" immigrants that graduate from a NC High School. </w:t>
            </w:r>
            <w:r w:rsidRPr="47F484AD">
              <w:rPr>
                <w:rFonts w:asciiTheme="minorEastAsia" w:eastAsiaTheme="minorEastAsia" w:hAnsiTheme="minorEastAsia" w:cstheme="minorEastAsia"/>
                <w:highlight w:val="cyan"/>
              </w:rPr>
              <w:t>(sign-on)</w:t>
            </w:r>
          </w:p>
        </w:tc>
        <w:tc>
          <w:tcPr>
            <w:tcW w:w="3960" w:type="dxa"/>
          </w:tcPr>
          <w:p w14:paraId="5C6D6251" w14:textId="333F8252" w:rsidR="40578A82" w:rsidRDefault="47F484AD" w:rsidP="40578A8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cstheme="minorEastAsia"/>
              </w:rPr>
              <w:t xml:space="preserve">Advocate for extensions of the federal Earned Income Tax Credit (EITC) and Child Tax Credit along with the expanded income eligibility for families. </w:t>
            </w:r>
            <w:r w:rsidRPr="47F484AD">
              <w:rPr>
                <w:rFonts w:asciiTheme="minorEastAsia" w:eastAsiaTheme="minorEastAsia" w:hAnsiTheme="minorEastAsia" w:cstheme="minorEastAsia"/>
                <w:highlight w:val="cyan"/>
              </w:rPr>
              <w:t>(sign-on)</w:t>
            </w:r>
          </w:p>
          <w:p w14:paraId="65048412" w14:textId="138296C9" w:rsidR="40578A82" w:rsidRDefault="40578A82" w:rsidP="40578A82">
            <w:pPr>
              <w:cnfStyle w:val="000000000000" w:firstRow="0" w:lastRow="0" w:firstColumn="0" w:lastColumn="0" w:oddVBand="0" w:evenVBand="0" w:oddHBand="0" w:evenHBand="0" w:firstRowFirstColumn="0" w:firstRowLastColumn="0" w:lastRowFirstColumn="0" w:lastRowLastColumn="0"/>
            </w:pPr>
          </w:p>
          <w:p w14:paraId="1AE0105F" w14:textId="5DE61DCA" w:rsidR="40578A82" w:rsidRDefault="47F484AD" w:rsidP="40578A82">
            <w:pPr>
              <w:cnfStyle w:val="000000000000" w:firstRow="0" w:lastRow="0" w:firstColumn="0" w:lastColumn="0" w:oddVBand="0" w:evenVBand="0" w:oddHBand="0" w:evenHBand="0" w:firstRowFirstColumn="0" w:firstRowLastColumn="0" w:lastRowFirstColumn="0" w:lastRowLastColumn="0"/>
            </w:pPr>
            <w:r>
              <w:t xml:space="preserve">Support an increase in the minimum wage. </w:t>
            </w:r>
            <w:r w:rsidRPr="47F484AD">
              <w:rPr>
                <w:highlight w:val="cyan"/>
              </w:rPr>
              <w:t>(sign-on)</w:t>
            </w:r>
            <w:r>
              <w:t xml:space="preserve"> </w:t>
            </w:r>
          </w:p>
        </w:tc>
      </w:tr>
    </w:tbl>
    <w:p w14:paraId="1A4691A1" w14:textId="52141E44" w:rsidR="40578A82" w:rsidRDefault="40578A82" w:rsidP="40578A82">
      <w:pPr>
        <w:jc w:val="center"/>
      </w:pPr>
      <w:r w:rsidRPr="40578A82">
        <w:rPr>
          <w:rFonts w:eastAsiaTheme="minorEastAsia"/>
        </w:rPr>
        <w:lastRenderedPageBreak/>
        <w:t xml:space="preserve"> </w:t>
      </w:r>
    </w:p>
    <w:sectPr w:rsidR="40578A82" w:rsidSect="00A02B1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02671"/>
    <w:multiLevelType w:val="hybridMultilevel"/>
    <w:tmpl w:val="E3388B2A"/>
    <w:lvl w:ilvl="0" w:tplc="43822C68">
      <w:start w:val="1"/>
      <w:numFmt w:val="bullet"/>
      <w:lvlText w:val=""/>
      <w:lvlJc w:val="left"/>
      <w:pPr>
        <w:ind w:left="720" w:hanging="360"/>
      </w:pPr>
      <w:rPr>
        <w:rFonts w:ascii="Symbol" w:hAnsi="Symbol" w:hint="default"/>
      </w:rPr>
    </w:lvl>
    <w:lvl w:ilvl="1" w:tplc="E460DC3E">
      <w:start w:val="1"/>
      <w:numFmt w:val="bullet"/>
      <w:lvlText w:val="o"/>
      <w:lvlJc w:val="left"/>
      <w:pPr>
        <w:ind w:left="1440" w:hanging="360"/>
      </w:pPr>
      <w:rPr>
        <w:rFonts w:ascii="Courier New" w:hAnsi="Courier New" w:hint="default"/>
      </w:rPr>
    </w:lvl>
    <w:lvl w:ilvl="2" w:tplc="EB941018">
      <w:start w:val="1"/>
      <w:numFmt w:val="bullet"/>
      <w:lvlText w:val=""/>
      <w:lvlJc w:val="left"/>
      <w:pPr>
        <w:ind w:left="2160" w:hanging="360"/>
      </w:pPr>
      <w:rPr>
        <w:rFonts w:ascii="Wingdings" w:hAnsi="Wingdings" w:hint="default"/>
      </w:rPr>
    </w:lvl>
    <w:lvl w:ilvl="3" w:tplc="C17E7792">
      <w:start w:val="1"/>
      <w:numFmt w:val="bullet"/>
      <w:lvlText w:val=""/>
      <w:lvlJc w:val="left"/>
      <w:pPr>
        <w:ind w:left="2880" w:hanging="360"/>
      </w:pPr>
      <w:rPr>
        <w:rFonts w:ascii="Symbol" w:hAnsi="Symbol" w:hint="default"/>
      </w:rPr>
    </w:lvl>
    <w:lvl w:ilvl="4" w:tplc="A9FE19CE">
      <w:start w:val="1"/>
      <w:numFmt w:val="bullet"/>
      <w:lvlText w:val="o"/>
      <w:lvlJc w:val="left"/>
      <w:pPr>
        <w:ind w:left="3600" w:hanging="360"/>
      </w:pPr>
      <w:rPr>
        <w:rFonts w:ascii="Courier New" w:hAnsi="Courier New" w:hint="default"/>
      </w:rPr>
    </w:lvl>
    <w:lvl w:ilvl="5" w:tplc="7B5ABED0">
      <w:start w:val="1"/>
      <w:numFmt w:val="bullet"/>
      <w:lvlText w:val=""/>
      <w:lvlJc w:val="left"/>
      <w:pPr>
        <w:ind w:left="4320" w:hanging="360"/>
      </w:pPr>
      <w:rPr>
        <w:rFonts w:ascii="Wingdings" w:hAnsi="Wingdings" w:hint="default"/>
      </w:rPr>
    </w:lvl>
    <w:lvl w:ilvl="6" w:tplc="D4D6C52E">
      <w:start w:val="1"/>
      <w:numFmt w:val="bullet"/>
      <w:lvlText w:val=""/>
      <w:lvlJc w:val="left"/>
      <w:pPr>
        <w:ind w:left="5040" w:hanging="360"/>
      </w:pPr>
      <w:rPr>
        <w:rFonts w:ascii="Symbol" w:hAnsi="Symbol" w:hint="default"/>
      </w:rPr>
    </w:lvl>
    <w:lvl w:ilvl="7" w:tplc="FE42BC20">
      <w:start w:val="1"/>
      <w:numFmt w:val="bullet"/>
      <w:lvlText w:val="o"/>
      <w:lvlJc w:val="left"/>
      <w:pPr>
        <w:ind w:left="5760" w:hanging="360"/>
      </w:pPr>
      <w:rPr>
        <w:rFonts w:ascii="Courier New" w:hAnsi="Courier New" w:hint="default"/>
      </w:rPr>
    </w:lvl>
    <w:lvl w:ilvl="8" w:tplc="A3289CB6">
      <w:start w:val="1"/>
      <w:numFmt w:val="bullet"/>
      <w:lvlText w:val=""/>
      <w:lvlJc w:val="left"/>
      <w:pPr>
        <w:ind w:left="6480" w:hanging="360"/>
      </w:pPr>
      <w:rPr>
        <w:rFonts w:ascii="Wingdings" w:hAnsi="Wingdings" w:hint="default"/>
      </w:rPr>
    </w:lvl>
  </w:abstractNum>
  <w:abstractNum w:abstractNumId="1">
    <w:nsid w:val="654A20D4"/>
    <w:multiLevelType w:val="hybridMultilevel"/>
    <w:tmpl w:val="551C73E2"/>
    <w:lvl w:ilvl="0" w:tplc="1E9471A8">
      <w:start w:val="1"/>
      <w:numFmt w:val="bullet"/>
      <w:lvlText w:val=""/>
      <w:lvlJc w:val="left"/>
      <w:pPr>
        <w:ind w:left="720" w:hanging="360"/>
      </w:pPr>
      <w:rPr>
        <w:rFonts w:ascii="Symbol" w:hAnsi="Symbol" w:hint="default"/>
      </w:rPr>
    </w:lvl>
    <w:lvl w:ilvl="1" w:tplc="D8641F4A">
      <w:start w:val="1"/>
      <w:numFmt w:val="bullet"/>
      <w:lvlText w:val="o"/>
      <w:lvlJc w:val="left"/>
      <w:pPr>
        <w:ind w:left="1440" w:hanging="360"/>
      </w:pPr>
      <w:rPr>
        <w:rFonts w:ascii="Courier New" w:hAnsi="Courier New" w:hint="default"/>
      </w:rPr>
    </w:lvl>
    <w:lvl w:ilvl="2" w:tplc="D8FA742E">
      <w:start w:val="1"/>
      <w:numFmt w:val="bullet"/>
      <w:lvlText w:val=""/>
      <w:lvlJc w:val="left"/>
      <w:pPr>
        <w:ind w:left="2160" w:hanging="360"/>
      </w:pPr>
      <w:rPr>
        <w:rFonts w:ascii="Wingdings" w:hAnsi="Wingdings" w:hint="default"/>
      </w:rPr>
    </w:lvl>
    <w:lvl w:ilvl="3" w:tplc="8074419E">
      <w:start w:val="1"/>
      <w:numFmt w:val="bullet"/>
      <w:lvlText w:val=""/>
      <w:lvlJc w:val="left"/>
      <w:pPr>
        <w:ind w:left="2880" w:hanging="360"/>
      </w:pPr>
      <w:rPr>
        <w:rFonts w:ascii="Symbol" w:hAnsi="Symbol" w:hint="default"/>
      </w:rPr>
    </w:lvl>
    <w:lvl w:ilvl="4" w:tplc="9CD65224">
      <w:start w:val="1"/>
      <w:numFmt w:val="bullet"/>
      <w:lvlText w:val="o"/>
      <w:lvlJc w:val="left"/>
      <w:pPr>
        <w:ind w:left="3600" w:hanging="360"/>
      </w:pPr>
      <w:rPr>
        <w:rFonts w:ascii="Courier New" w:hAnsi="Courier New" w:hint="default"/>
      </w:rPr>
    </w:lvl>
    <w:lvl w:ilvl="5" w:tplc="8FE0F512">
      <w:start w:val="1"/>
      <w:numFmt w:val="bullet"/>
      <w:lvlText w:val=""/>
      <w:lvlJc w:val="left"/>
      <w:pPr>
        <w:ind w:left="4320" w:hanging="360"/>
      </w:pPr>
      <w:rPr>
        <w:rFonts w:ascii="Wingdings" w:hAnsi="Wingdings" w:hint="default"/>
      </w:rPr>
    </w:lvl>
    <w:lvl w:ilvl="6" w:tplc="6E60F1B4">
      <w:start w:val="1"/>
      <w:numFmt w:val="bullet"/>
      <w:lvlText w:val=""/>
      <w:lvlJc w:val="left"/>
      <w:pPr>
        <w:ind w:left="5040" w:hanging="360"/>
      </w:pPr>
      <w:rPr>
        <w:rFonts w:ascii="Symbol" w:hAnsi="Symbol" w:hint="default"/>
      </w:rPr>
    </w:lvl>
    <w:lvl w:ilvl="7" w:tplc="2E2A7CA0">
      <w:start w:val="1"/>
      <w:numFmt w:val="bullet"/>
      <w:lvlText w:val="o"/>
      <w:lvlJc w:val="left"/>
      <w:pPr>
        <w:ind w:left="5760" w:hanging="360"/>
      </w:pPr>
      <w:rPr>
        <w:rFonts w:ascii="Courier New" w:hAnsi="Courier New" w:hint="default"/>
      </w:rPr>
    </w:lvl>
    <w:lvl w:ilvl="8" w:tplc="71C28DE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578A82"/>
    <w:rsid w:val="000A600C"/>
    <w:rsid w:val="000E09D2"/>
    <w:rsid w:val="007C3721"/>
    <w:rsid w:val="00936A7C"/>
    <w:rsid w:val="00A02B19"/>
    <w:rsid w:val="00DA35F2"/>
    <w:rsid w:val="40578A82"/>
    <w:rsid w:val="47F484AD"/>
    <w:rsid w:val="616B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E7672"/>
  <w15:docId w15:val="{0B4A6516-B54A-4A2A-B292-6D10EE88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0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F5C76F486DA458B4C240CEABDDED7" ma:contentTypeVersion="1" ma:contentTypeDescription="Create a new document." ma:contentTypeScope="" ma:versionID="12ff45d9d349101b58a613750272ee4c">
  <xsd:schema xmlns:xsd="http://www.w3.org/2001/XMLSchema" xmlns:xs="http://www.w3.org/2001/XMLSchema" xmlns:p="http://schemas.microsoft.com/office/2006/metadata/properties" xmlns:ns2="7351cec5-8c67-4fba-abdf-d973459ac48c" targetNamespace="http://schemas.microsoft.com/office/2006/metadata/properties" ma:root="true" ma:fieldsID="511a0674f0d2a7aa8642602273938077" ns2:_="">
    <xsd:import namespace="7351cec5-8c67-4fba-abdf-d973459ac4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1cec5-8c67-4fba-abdf-d973459ac4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9FD51-541E-46B6-B36D-3855082D372A}">
  <ds:schemaRefs>
    <ds:schemaRef ds:uri="http://purl.org/dc/elements/1.1/"/>
    <ds:schemaRef ds:uri="http://schemas.microsoft.com/office/2006/metadata/properties"/>
    <ds:schemaRef ds:uri="7351cec5-8c67-4fba-abdf-d973459ac48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EA2006-F04D-4893-A1F6-B95A89EA6D11}">
  <ds:schemaRefs>
    <ds:schemaRef ds:uri="http://schemas.microsoft.com/sharepoint/v3/contenttype/forms"/>
  </ds:schemaRefs>
</ds:datastoreItem>
</file>

<file path=customXml/itemProps3.xml><?xml version="1.0" encoding="utf-8"?>
<ds:datastoreItem xmlns:ds="http://schemas.openxmlformats.org/officeDocument/2006/customXml" ds:itemID="{D129E2F0-DD81-41BE-BDF7-1A610A757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1cec5-8c67-4fba-abdf-d973459a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 Ford</cp:lastModifiedBy>
  <cp:revision>2</cp:revision>
  <cp:lastPrinted>2014-12-05T18:48:00Z</cp:lastPrinted>
  <dcterms:created xsi:type="dcterms:W3CDTF">2015-01-16T20:07:00Z</dcterms:created>
  <dcterms:modified xsi:type="dcterms:W3CDTF">2015-01-16T20:07:00Z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0x0101003EDF5C76F486DA458B4C240CEABDDED7</vt:lpwstr>
  </property>
</Properties>
</file>